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DBA Disclosure</w:t>
      </w:r>
    </w:p>
    <w:p>
      <w:r>
        <w:rPr>
          <w:i/>
          <w:iCs/>
          <w:color w:val="666666"/>
        </w:rPr>
        <w:t xml:space="preserve">Maincard · Last updated 2026-02-25</w:t>
      </w:r>
    </w:p>
    <w:p/>
    <w:p>
      <w:pPr>
        <w:pStyle w:val="Heading2"/>
        <w:spacing w:after="120" w:before="240"/>
      </w:pPr>
      <w:r>
        <w:t xml:space="preserve">1. ENTITY IDENTIFICATION</w:t>
      </w:r>
    </w:p>
    <w:p>
      <w:pPr>
        <w:spacing w:after="160"/>
      </w:pPr>
      <w:r>
        <w:t xml:space="preserve">This DBA Disclosure ("Disclosure") is issued by BUYEASY TECHNOLOGY CO., LTD, a corporation incorporated under the Canada Business Corporations Act, doing business as "Maincard" (hereinafter referred to as "BUYEASY," "we," "us," or "our").</w:t>
      </w:r>
    </w:p>
    <w:p>
      <w:pPr>
        <w:spacing w:after="160"/>
      </w:pPr>
      <w:r>
        <w:t xml:space="preserve">Legal Entity Name: BUYEASY TECHNOLOGY CO., LTD
DBA (Trade Name): Maincard
Province of Incorporation: Ontario, Canada
Registered Address: 320 Matheson Blvd W, Suite 211, Mississauga, ON L5R 0H2, Canada</w:t>
      </w:r>
    </w:p>
    <w:p>
      <w:pPr>
        <w:pStyle w:val="Heading2"/>
        <w:spacing w:after="120" w:before="240"/>
      </w:pPr>
      <w:r>
        <w:t xml:space="preserve">2. PURPOSE AND SCOPE</w:t>
      </w:r>
    </w:p>
    <w:p>
      <w:pPr>
        <w:spacing w:after="160"/>
      </w:pPr>
      <w:r>
        <w:t xml:space="preserve">This Disclosure establishes the relationship between the legal entity name "BUYEASY TECHNOLOGY CO., LTD" and the trade name "Maincard" for the purpose of all legal documents, terms, policies, and agreements governing the use of the Maincard platform and services.</w:t>
      </w:r>
    </w:p>
    <w:p>
      <w:pPr>
        <w:spacing w:after="160"/>
      </w:pPr>
      <w:r>
        <w:t xml:space="preserve">This Disclosure applies to, and should be read in conjunction with, all documents listed in Schedule A of this Disclosure. Any reference to "BUYEASY," "BUYEASY TECHNOLOGY CO., LTD," or "Maincard" in those documents refers to the same legal entity: BUYEASY TECHNOLOGY CO., LTD.</w:t>
      </w:r>
    </w:p>
    <w:p>
      <w:pPr>
        <w:pStyle w:val="Heading2"/>
        <w:spacing w:after="120" w:before="240"/>
      </w:pPr>
      <w:r>
        <w:t xml:space="preserve">3. KEY DEFINITIONS</w:t>
      </w:r>
    </w:p>
    <w:p>
      <w:pPr>
        <w:spacing w:after="160"/>
      </w:pPr>
      <w:r>
        <w:t xml:space="preserve">For the purposes of the Covered Documents and this Disclosure, the following terms shall have the meanings set forth below:</w:t>
      </w:r>
    </w:p>
    <w:p>
      <w:pPr>
        <w:spacing w:after="160"/>
      </w:pPr>
      <w:r>
        <w:t xml:space="preserve">"BUYEASY" or "BUYEASY TECHNOLOGY CO., LTD" means BUYEASY TECHNOLOGY CO., LTD, the legal entity incorporated under the Canada Business Corporations Act, which develops, operates, and provides the Maincard platform and the financial services accessed through it.</w:t>
      </w:r>
    </w:p>
    <w:p>
      <w:pPr>
        <w:spacing w:after="160"/>
      </w:pPr>
      <w:r>
        <w:t xml:space="preserve">"Maincard" means the consumer-facing brand and trade name under which BUYEASY TECHNOLOGY CO., LTD provides crypto-friendly banking and payment services for businesses and high-net-worth individuals, including fiat and cryptocurrency-related financial products.</w:t>
      </w:r>
    </w:p>
    <w:p>
      <w:pPr>
        <w:spacing w:after="160"/>
      </w:pPr>
      <w:r>
        <w:t xml:space="preserve">"BUYEASY TECHNOLOGY CO., LTD DBA Maincard" or "BUYEASY TECHNOLOGY CO., LTD (DBA Maincard)" means BUYEASY TECHNOLOGY CO., LTD acting under the trade name Maincard, and serves as the formal designation of the operating entity across all Covered Documents.</w:t>
      </w:r>
    </w:p>
    <w:p>
      <w:pPr>
        <w:spacing w:after="160"/>
      </w:pPr>
      <w:r>
        <w:t xml:space="preserve">"Platform" means the Maincard platform accessible at maincard.com, including all associated web applications, mobile applications, APIs, and services.</w:t>
      </w:r>
    </w:p>
    <w:p>
      <w:pPr>
        <w:spacing w:after="160"/>
      </w:pPr>
      <w:r>
        <w:t xml:space="preserve">"Covered Documents" means all documents listed in Schedule A of this Disclosure, as may be amended from time to time.</w:t>
      </w:r>
    </w:p>
    <w:p>
      <w:pPr>
        <w:pStyle w:val="Heading2"/>
        <w:spacing w:after="120" w:before="240"/>
      </w:pPr>
      <w:r>
        <w:t xml:space="preserve">4. CONTACT INFORMATION</w:t>
      </w:r>
    </w:p>
    <w:p>
      <w:pPr>
        <w:spacing w:after="160"/>
      </w:pPr>
      <w:r>
        <w:t xml:space="preserve">All official contact channels for the Maincard platform are listed below. These contacts are valid for all Covered Documents unless otherwise specified within a particular document.</w:t>
      </w:r>
    </w:p>
    <w:p>
      <w:pPr>
        <w:spacing w:after="160"/>
      </w:pPr>
      <w:r>
        <w:t xml:space="preserve">General Support: support@maincard.com
Legal Department: legal@maincard.com
Phone: +1 949-922-0482
Website: maincard.com
Mailing Address: BUYEASY TECHNOLOGY CO., LTD (DBA Maincard), 320 Matheson Blvd W, Suite 211, Mississauga, ON L5R 0H2, Canada</w:t>
      </w:r>
    </w:p>
    <w:p>
      <w:pPr>
        <w:pStyle w:val="Heading2"/>
        <w:spacing w:after="120" w:before="240"/>
      </w:pPr>
      <w:r>
        <w:t xml:space="preserve">5. DOMAIN AND DIGITAL PRESENCE</w:t>
      </w:r>
    </w:p>
    <w:p>
      <w:pPr>
        <w:spacing w:after="160"/>
      </w:pPr>
      <w:r>
        <w:t xml:space="preserve">maincard.com is the primary domain for the Maincard platform and all consumer-facing services.</w:t>
      </w:r>
    </w:p>
    <w:p>
      <w:pPr>
        <w:pStyle w:val="Heading2"/>
        <w:spacing w:after="120" w:before="240"/>
      </w:pPr>
      <w:r>
        <w:t xml:space="preserve">6. INTERPRETATION RULES</w:t>
      </w:r>
    </w:p>
    <w:p>
      <w:pPr>
        <w:spacing w:after="160"/>
      </w:pPr>
      <w:r>
        <w:t xml:space="preserve">In the event of any ambiguity or inconsistency between the entity names used in any Covered Document, the following interpretation rules shall apply:</w:t>
      </w:r>
    </w:p>
    <w:p>
      <w:pPr>
        <w:spacing w:after="160"/>
      </w:pPr>
      <w:r>
        <w:t xml:space="preserve">Any reference to "BUYEASY," "BUYEASY TECHNOLOGY CO., LTD," "Maincard," or "BUYEASY TECHNOLOGY CO., LTD (DBA Maincard)" in the Covered Documents refers to the same legal entity: BUYEASY TECHNOLOGY CO., LTD.</w:t>
      </w:r>
    </w:p>
    <w:p>
      <w:pPr>
        <w:spacing w:after="160"/>
      </w:pPr>
      <w:r>
        <w:t xml:space="preserve">Contact information provided in the Covered Documents (emails ending in @maincard.com) routes to the same operational teams within BUYEASY TECHNOLOGY CO., LTD.</w:t>
      </w:r>
    </w:p>
    <w:p>
      <w:pPr>
        <w:spacing w:after="160"/>
      </w:pPr>
      <w:r>
        <w:t xml:space="preserve">This Disclosure does not alter, amend, or supersede the substantive rights and obligations set forth in any Covered Document. It serves solely to clarify entity identification and branding.</w:t>
      </w:r>
    </w:p>
    <w:p>
      <w:pPr>
        <w:pStyle w:val="Heading2"/>
        <w:spacing w:after="120" w:before="240"/>
      </w:pPr>
      <w:r>
        <w:t xml:space="preserve">7. AMENDMENTS</w:t>
      </w:r>
    </w:p>
    <w:p>
      <w:pPr>
        <w:spacing w:after="160"/>
      </w:pPr>
      <w:r>
        <w:t xml:space="preserve">This Disclosure may be updated from time to time. Material changes will be communicated via email or Platform notification. The current version is always available at https://legal.maincard.com/v1/dba-disclosure.</w:t>
      </w:r>
    </w:p>
    <w:p>
      <w:pPr>
        <w:pStyle w:val="Heading2"/>
        <w:spacing w:after="120" w:before="240"/>
      </w:pPr>
      <w:r>
        <w:t xml:space="preserve">8. GOVERNING LAW</w:t>
      </w:r>
    </w:p>
    <w:p>
      <w:pPr>
        <w:spacing w:after="160"/>
      </w:pPr>
      <w:r>
        <w:t xml:space="preserve">This Disclosure is governed by the laws of the Province of Ontario, Canada, consistent with the governing law provisions of the Covered Documents.</w:t>
      </w:r>
    </w:p>
    <w:p>
      <w:pPr>
        <w:pStyle w:val="Heading2"/>
        <w:spacing w:after="120" w:before="240"/>
      </w:pPr>
      <w:r>
        <w:t xml:space="preserve">SCHEDULE A — COVERED DOCUMENTS</w:t>
      </w:r>
    </w:p>
    <w:p>
      <w:pPr>
        <w:spacing w:after="160"/>
      </w:pPr>
      <w:r>
        <w:t xml:space="preserve">This Disclosure applies to the following documents, including any future amendments or updates thereto:</w:t>
      </w:r>
    </w:p>
    <w:p>
      <w:pPr>
        <w:spacing w:after="160"/>
      </w:pPr>
      <w:r>
        <w:t xml:space="preserve">Master Documents:
MAINCARD TERMS AND CONDITIONS (January 22, 2026, v1.0)
MAINCARD PRIVACY POLICY (January 22, 2026, v1.0)
MAINCARD PROHIBITED ACTIVITIES POLICY (June 13, 2025, v2.0)
MAINCARD FRAUD AND SECURITY POLICY (January 22, 2026, v1.0)
MAINCARD CONSUMER PROTECTION POLICY (January 22, 2026, v1.0)
MAINCARD COOKIE POLICY (February 22, 2026, v1.0)
MAINCARD LEGAL DISCLAIMER (June 22, 2026)
MAINCARD TRUST AND SAFETY (June 22, 2026)
MAINCARD DBA DISCLOSURE (February 25, 2026, v1.0)
MAINCARD LICENSING (June 22, 2026)</w:t>
      </w:r>
    </w:p>
    <w:p>
      <w:pPr>
        <w:spacing w:after="160"/>
      </w:pPr>
      <w:r>
        <w:t xml:space="preserve">This list may be updated from time to time as new documents are added to the Maincard platform documentation. Updates to this Schedule do not constitute a material change to the Disclosure.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2026-11-01T11:09:23.780Z</dcterms:created>
  <dcterms:modified xsi:type="dcterms:W3CDTF">2026-11-01T11:09:23.780Z</dcterms:modified>
</cp:coreProperties>
</file>

<file path=docProps/custom.xml><?xml version="1.0" encoding="utf-8"?>
<Properties xmlns="http://schemas.openxmlformats.org/officeDocument/2006/custom-properties" xmlns:vt="http://schemas.openxmlformats.org/officeDocument/2006/docPropsVTypes"/>
</file>